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EF05B" w14:textId="6F16BB7A" w:rsidR="00E921C4" w:rsidRPr="008F66D9" w:rsidRDefault="00E921C4" w:rsidP="00E921C4">
      <w:pPr>
        <w:pStyle w:val="3GPPHeader"/>
        <w:spacing w:after="60"/>
        <w:rPr>
          <w:sz w:val="28"/>
          <w:szCs w:val="28"/>
          <w:highlight w:val="cyan"/>
        </w:rPr>
      </w:pPr>
      <w:r w:rsidRPr="008B075D">
        <w:rPr>
          <w:sz w:val="22"/>
          <w:szCs w:val="20"/>
        </w:rPr>
        <w:t>3GPP TSG RAN WG1 #10</w:t>
      </w:r>
      <w:r w:rsidR="008F66D9">
        <w:rPr>
          <w:sz w:val="22"/>
          <w:szCs w:val="20"/>
        </w:rPr>
        <w:t>6</w:t>
      </w:r>
      <w:r w:rsidRPr="008B075D">
        <w:rPr>
          <w:sz w:val="22"/>
          <w:szCs w:val="20"/>
        </w:rPr>
        <w:t>e</w:t>
      </w:r>
      <w:r w:rsidRPr="008B075D">
        <w:rPr>
          <w:sz w:val="22"/>
          <w:szCs w:val="20"/>
        </w:rPr>
        <w:tab/>
      </w:r>
      <w:r w:rsidR="00E51167" w:rsidRPr="00E51167">
        <w:rPr>
          <w:sz w:val="28"/>
          <w:szCs w:val="28"/>
        </w:rPr>
        <w:t>R1-2107995</w:t>
      </w:r>
    </w:p>
    <w:p w14:paraId="16B7AC4D" w14:textId="16B8E2CA" w:rsidR="00E921C4" w:rsidRPr="008B075D" w:rsidRDefault="00E921C4" w:rsidP="00E921C4">
      <w:pPr>
        <w:pStyle w:val="3GPPHeader"/>
        <w:rPr>
          <w:sz w:val="22"/>
          <w:szCs w:val="20"/>
        </w:rPr>
      </w:pPr>
      <w:r w:rsidRPr="008B075D">
        <w:rPr>
          <w:sz w:val="22"/>
          <w:szCs w:val="20"/>
        </w:rPr>
        <w:t xml:space="preserve">e-Meeting, </w:t>
      </w:r>
      <w:r w:rsidR="008F66D9">
        <w:rPr>
          <w:sz w:val="22"/>
          <w:szCs w:val="20"/>
        </w:rPr>
        <w:t>Aug</w:t>
      </w:r>
      <w:r w:rsidRPr="008B075D">
        <w:rPr>
          <w:sz w:val="22"/>
          <w:szCs w:val="20"/>
        </w:rPr>
        <w:t xml:space="preserve"> </w:t>
      </w:r>
      <w:r>
        <w:rPr>
          <w:sz w:val="22"/>
          <w:szCs w:val="20"/>
        </w:rPr>
        <w:t>1</w:t>
      </w:r>
      <w:r w:rsidR="008F66D9">
        <w:rPr>
          <w:sz w:val="22"/>
          <w:szCs w:val="20"/>
        </w:rPr>
        <w:t>6</w:t>
      </w:r>
      <w:r w:rsidRPr="008B075D">
        <w:rPr>
          <w:sz w:val="22"/>
          <w:szCs w:val="20"/>
        </w:rPr>
        <w:t xml:space="preserve">th – </w:t>
      </w:r>
      <w:r>
        <w:rPr>
          <w:sz w:val="22"/>
          <w:szCs w:val="20"/>
        </w:rPr>
        <w:t>27</w:t>
      </w:r>
      <w:r w:rsidRPr="008B075D">
        <w:rPr>
          <w:sz w:val="22"/>
          <w:szCs w:val="20"/>
        </w:rPr>
        <w:t>th, 2021</w:t>
      </w:r>
    </w:p>
    <w:p w14:paraId="2347BA87" w14:textId="77777777" w:rsidR="00F42720" w:rsidRPr="000833FA" w:rsidRDefault="00F42720" w:rsidP="00F42720">
      <w:pPr>
        <w:pStyle w:val="Header"/>
      </w:pPr>
    </w:p>
    <w:p w14:paraId="11CB8FF5" w14:textId="77777777" w:rsidR="00F42720" w:rsidRPr="0003368D" w:rsidRDefault="00F42720" w:rsidP="00F42720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95E6559" w14:textId="3295EED3" w:rsidR="00F42720" w:rsidRPr="00E220C0" w:rsidRDefault="00F42720" w:rsidP="00F4272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E51167" w:rsidRPr="00E51167">
        <w:t>Capability 2 and fallback DCI format 1-0 PDSCH handling</w:t>
      </w:r>
    </w:p>
    <w:p w14:paraId="4562DBC7" w14:textId="62FED5DB" w:rsidR="00F42720" w:rsidRPr="00E220C0" w:rsidRDefault="00F42720" w:rsidP="00F42720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0D7396">
        <w:t>7.1</w:t>
      </w:r>
    </w:p>
    <w:p w14:paraId="7C962FF7" w14:textId="77777777" w:rsidR="00F42720" w:rsidRPr="0003368D" w:rsidRDefault="00F42720" w:rsidP="00F42720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28BB0C4B" w14:textId="77777777" w:rsidR="00F42720" w:rsidRPr="002100D2" w:rsidRDefault="00F42720" w:rsidP="00F42720">
      <w:pPr>
        <w:pBdr>
          <w:bottom w:val="single" w:sz="4" w:space="1" w:color="auto"/>
        </w:pBdr>
        <w:tabs>
          <w:tab w:val="left" w:pos="2552"/>
        </w:tabs>
      </w:pPr>
    </w:p>
    <w:p w14:paraId="2AD372F0" w14:textId="77777777" w:rsidR="00F42720" w:rsidRDefault="00F42720" w:rsidP="00F42720">
      <w:pPr>
        <w:pStyle w:val="Heading1"/>
        <w:spacing w:before="180"/>
        <w:ind w:left="562" w:hanging="562"/>
      </w:pPr>
      <w:r>
        <w:t>Introduction</w:t>
      </w:r>
    </w:p>
    <w:p w14:paraId="370A7A7A" w14:textId="70032223" w:rsidR="00F42720" w:rsidRPr="006469D6" w:rsidRDefault="00F42720" w:rsidP="00F42720">
      <w:pPr>
        <w:rPr>
          <w:sz w:val="20"/>
          <w:szCs w:val="20"/>
          <w:lang w:eastAsia="zh-CN"/>
        </w:rPr>
      </w:pPr>
      <w:r w:rsidRPr="006469D6">
        <w:rPr>
          <w:sz w:val="20"/>
          <w:szCs w:val="20"/>
          <w:lang w:eastAsia="zh-CN"/>
        </w:rPr>
        <w:t xml:space="preserve">In </w:t>
      </w:r>
      <w:r w:rsidR="000D7396" w:rsidRPr="006469D6">
        <w:rPr>
          <w:sz w:val="20"/>
          <w:szCs w:val="20"/>
          <w:lang w:eastAsia="zh-CN"/>
        </w:rPr>
        <w:t xml:space="preserve">last RAN1 meeting, processing time applicable </w:t>
      </w:r>
      <w:r w:rsidR="00CC68BE">
        <w:rPr>
          <w:sz w:val="20"/>
          <w:szCs w:val="20"/>
          <w:lang w:eastAsia="zh-CN"/>
        </w:rPr>
        <w:t xml:space="preserve">for </w:t>
      </w:r>
      <w:r w:rsidR="000D7396" w:rsidRPr="006469D6">
        <w:rPr>
          <w:sz w:val="20"/>
          <w:szCs w:val="20"/>
          <w:lang w:eastAsia="zh-CN"/>
        </w:rPr>
        <w:t xml:space="preserve">PDSCH scheduled by DCI format 1_0 </w:t>
      </w:r>
      <w:r w:rsidR="00CC68BE">
        <w:rPr>
          <w:sz w:val="20"/>
          <w:szCs w:val="20"/>
          <w:lang w:eastAsia="zh-CN"/>
        </w:rPr>
        <w:t xml:space="preserve">for cap2 UEs was discussed, </w:t>
      </w:r>
      <w:r w:rsidR="000D7396" w:rsidRPr="006469D6">
        <w:rPr>
          <w:sz w:val="20"/>
          <w:szCs w:val="20"/>
          <w:lang w:eastAsia="zh-CN"/>
        </w:rPr>
        <w:t>and the conclusion was to continue discussions in RAN1#106-e</w:t>
      </w:r>
      <w:r w:rsidR="00CC68BE">
        <w:rPr>
          <w:sz w:val="20"/>
          <w:szCs w:val="20"/>
          <w:lang w:eastAsia="zh-CN"/>
        </w:rPr>
        <w:t xml:space="preserve"> [1]</w:t>
      </w:r>
      <w:r w:rsidR="000D7396" w:rsidRPr="006469D6">
        <w:rPr>
          <w:sz w:val="20"/>
          <w:szCs w:val="20"/>
          <w:lang w:eastAsia="zh-CN"/>
        </w:rPr>
        <w:t>.</w:t>
      </w:r>
    </w:p>
    <w:p w14:paraId="77891917" w14:textId="6DAB68BA" w:rsidR="003934AC" w:rsidRDefault="008930E6" w:rsidP="00264A02">
      <w:pPr>
        <w:pStyle w:val="Heading1"/>
        <w:tabs>
          <w:tab w:val="clear" w:pos="747"/>
          <w:tab w:val="num" w:pos="567"/>
        </w:tabs>
        <w:ind w:left="567"/>
      </w:pPr>
      <w:r>
        <w:t>Background</w:t>
      </w:r>
    </w:p>
    <w:p w14:paraId="478BF0B9" w14:textId="2E7D24E7" w:rsidR="008930E6" w:rsidRPr="00962576" w:rsidRDefault="00264A02" w:rsidP="008930E6">
      <w:pPr>
        <w:rPr>
          <w:i/>
          <w:iCs/>
          <w:sz w:val="20"/>
          <w:szCs w:val="20"/>
        </w:rPr>
      </w:pPr>
      <w:r w:rsidRPr="00962576">
        <w:rPr>
          <w:sz w:val="20"/>
          <w:szCs w:val="20"/>
        </w:rPr>
        <w:t xml:space="preserve">The </w:t>
      </w:r>
      <w:r w:rsidR="00CC68BE" w:rsidRPr="00962576">
        <w:rPr>
          <w:sz w:val="20"/>
          <w:szCs w:val="20"/>
        </w:rPr>
        <w:t>main issue</w:t>
      </w:r>
      <w:r w:rsidRPr="00962576">
        <w:rPr>
          <w:sz w:val="20"/>
          <w:szCs w:val="20"/>
        </w:rPr>
        <w:t xml:space="preserve"> is regarding processing time for unicast PDSCH scheduled by fallback DCI format 1_0 when UE is configured with PDSCH processing capability 2 (cap2) [1]. </w:t>
      </w:r>
    </w:p>
    <w:p w14:paraId="0F530927" w14:textId="0042886B" w:rsidR="00DC5755" w:rsidRPr="00962576" w:rsidRDefault="00264A02" w:rsidP="00264A02">
      <w:pPr>
        <w:rPr>
          <w:sz w:val="20"/>
          <w:szCs w:val="20"/>
        </w:rPr>
      </w:pPr>
      <w:r w:rsidRPr="00962576">
        <w:rPr>
          <w:sz w:val="20"/>
          <w:szCs w:val="20"/>
        </w:rPr>
        <w:t>Current spec requires UE to follow cap2 processing time when UE is configured with capability 2 processi</w:t>
      </w:r>
      <w:r w:rsidR="00DC5755" w:rsidRPr="00962576">
        <w:rPr>
          <w:sz w:val="20"/>
          <w:szCs w:val="20"/>
        </w:rPr>
        <w:t>ng</w:t>
      </w:r>
      <w:r w:rsidR="008930E6" w:rsidRPr="00962576">
        <w:rPr>
          <w:sz w:val="20"/>
          <w:szCs w:val="20"/>
        </w:rPr>
        <w:t>. T</w:t>
      </w:r>
      <w:r w:rsidRPr="00962576">
        <w:rPr>
          <w:sz w:val="20"/>
          <w:szCs w:val="20"/>
        </w:rPr>
        <w:t xml:space="preserve">he condition for cap2 is </w:t>
      </w:r>
      <w:r w:rsidR="008930E6" w:rsidRPr="00962576">
        <w:rPr>
          <w:sz w:val="20"/>
          <w:szCs w:val="20"/>
        </w:rPr>
        <w:t>checked based on higher layer parameter</w:t>
      </w:r>
      <w:r w:rsidRPr="00962576">
        <w:rPr>
          <w:sz w:val="20"/>
          <w:szCs w:val="20"/>
        </w:rPr>
        <w:t xml:space="preserve"> (dmrs-AdditionalPosition = ‘pos0’ in table 5.3-2, 38.214). For non-fallback DCI format 1_1, the DMRS would be front-loaded (FL)</w:t>
      </w:r>
      <w:r w:rsidR="008930E6" w:rsidRPr="00962576">
        <w:rPr>
          <w:sz w:val="20"/>
          <w:szCs w:val="20"/>
        </w:rPr>
        <w:t xml:space="preserve"> based on the setting ‘pos0’</w:t>
      </w:r>
      <w:r w:rsidRPr="00962576">
        <w:rPr>
          <w:sz w:val="20"/>
          <w:szCs w:val="20"/>
        </w:rPr>
        <w:t>. On the other hand, for fallback DCI 1_0, even with cap2 configuration, PDSCH DMRS can be non-FL for some TDRA entries (PDSCH durations l</w:t>
      </w:r>
      <w:r w:rsidRPr="00962576">
        <w:rPr>
          <w:sz w:val="20"/>
          <w:szCs w:val="20"/>
          <w:vertAlign w:val="subscript"/>
        </w:rPr>
        <w:t xml:space="preserve">d </w:t>
      </w:r>
      <w:r w:rsidRPr="00962576">
        <w:rPr>
          <w:sz w:val="20"/>
          <w:szCs w:val="20"/>
        </w:rPr>
        <w:t xml:space="preserve"> &gt; 7 syms for </w:t>
      </w:r>
      <w:r w:rsidR="004E2DA2">
        <w:rPr>
          <w:sz w:val="20"/>
          <w:szCs w:val="20"/>
        </w:rPr>
        <w:t xml:space="preserve">PDSCH mapping </w:t>
      </w:r>
      <w:r w:rsidRPr="00962576">
        <w:rPr>
          <w:sz w:val="20"/>
          <w:szCs w:val="20"/>
        </w:rPr>
        <w:t>type-A, and l</w:t>
      </w:r>
      <w:r w:rsidRPr="00962576">
        <w:rPr>
          <w:sz w:val="20"/>
          <w:szCs w:val="20"/>
          <w:vertAlign w:val="subscript"/>
        </w:rPr>
        <w:t>d</w:t>
      </w:r>
      <w:r w:rsidRPr="00962576">
        <w:rPr>
          <w:sz w:val="20"/>
          <w:szCs w:val="20"/>
        </w:rPr>
        <w:t xml:space="preserve"> &gt;4 syms for </w:t>
      </w:r>
      <w:r w:rsidR="004E2DA2">
        <w:rPr>
          <w:sz w:val="20"/>
          <w:szCs w:val="20"/>
        </w:rPr>
        <w:t xml:space="preserve">PDSCH mapping </w:t>
      </w:r>
      <w:r w:rsidRPr="00962576">
        <w:rPr>
          <w:sz w:val="20"/>
          <w:szCs w:val="20"/>
        </w:rPr>
        <w:t xml:space="preserve">type-B), while it is FL for other TDRA entries. </w:t>
      </w:r>
      <w:r w:rsidR="00DC5755" w:rsidRPr="00962576">
        <w:rPr>
          <w:sz w:val="20"/>
          <w:szCs w:val="20"/>
        </w:rPr>
        <w:t>Details have been discussed in [1].</w:t>
      </w:r>
    </w:p>
    <w:p w14:paraId="14F9603B" w14:textId="2E15A476" w:rsidR="00C97FBE" w:rsidRPr="00962576" w:rsidRDefault="008930E6" w:rsidP="00264A02">
      <w:pPr>
        <w:rPr>
          <w:sz w:val="20"/>
          <w:szCs w:val="20"/>
        </w:rPr>
      </w:pPr>
      <w:r w:rsidRPr="00962576">
        <w:rPr>
          <w:sz w:val="20"/>
          <w:szCs w:val="20"/>
        </w:rPr>
        <w:t xml:space="preserve">From the current specification, UE applies Cap2 processing time when it is configured to do so according to below spec excerpt. </w:t>
      </w:r>
    </w:p>
    <w:p w14:paraId="13343A13" w14:textId="49233FD2" w:rsidR="008930E6" w:rsidRPr="008930E6" w:rsidRDefault="008930E6" w:rsidP="00264A02">
      <w:pPr>
        <w:rPr>
          <w:sz w:val="20"/>
          <w:szCs w:val="20"/>
          <w:u w:val="single"/>
        </w:rPr>
      </w:pPr>
      <w:r w:rsidRPr="008930E6">
        <w:rPr>
          <w:sz w:val="20"/>
          <w:szCs w:val="20"/>
          <w:u w:val="single"/>
        </w:rPr>
        <w:t>From 38.214-g60, subclause 5.3</w:t>
      </w:r>
    </w:p>
    <w:p w14:paraId="1CB38CF4" w14:textId="50940F08" w:rsidR="008930E6" w:rsidRPr="008930E6" w:rsidRDefault="008930E6" w:rsidP="00264A02">
      <w:pPr>
        <w:rPr>
          <w:sz w:val="20"/>
          <w:szCs w:val="20"/>
        </w:rPr>
      </w:pPr>
      <w:r w:rsidRPr="008930E6">
        <w:rPr>
          <w:i/>
          <w:iCs/>
          <w:sz w:val="20"/>
          <w:szCs w:val="20"/>
        </w:rPr>
        <w:t xml:space="preserve">For a UE that supports capability 2 on a given cell, the processing time according to UE processing capability 2 is applied if the high layer parameter processingType2Enabled in PDSCH-ServingCellConfig is configured for the cell and set to </w:t>
      </w:r>
      <w:r w:rsidRPr="008930E6">
        <w:rPr>
          <w:i/>
          <w:iCs/>
          <w:sz w:val="20"/>
          <w:szCs w:val="20"/>
          <w:lang w:val="en-GB"/>
        </w:rPr>
        <w:t>'</w:t>
      </w:r>
      <w:r w:rsidRPr="008930E6">
        <w:rPr>
          <w:i/>
          <w:iCs/>
          <w:sz w:val="20"/>
          <w:szCs w:val="20"/>
        </w:rPr>
        <w:t>enable'.</w:t>
      </w:r>
    </w:p>
    <w:p w14:paraId="1EB2E8A7" w14:textId="6C7641E9" w:rsidR="008930E6" w:rsidRDefault="008930E6" w:rsidP="00264A02">
      <w:pPr>
        <w:rPr>
          <w:sz w:val="20"/>
          <w:szCs w:val="20"/>
        </w:rPr>
      </w:pPr>
      <w:r>
        <w:rPr>
          <w:sz w:val="20"/>
          <w:szCs w:val="20"/>
        </w:rPr>
        <w:t xml:space="preserve">Explicit </w:t>
      </w:r>
      <w:r w:rsidR="008E7459">
        <w:rPr>
          <w:sz w:val="20"/>
          <w:szCs w:val="20"/>
        </w:rPr>
        <w:t xml:space="preserve">Cap2 UE fallback to cap1 processing time </w:t>
      </w:r>
      <w:r w:rsidR="00C97FBE">
        <w:rPr>
          <w:sz w:val="20"/>
          <w:szCs w:val="20"/>
        </w:rPr>
        <w:t>is specified for ‘</w:t>
      </w:r>
      <w:r w:rsidR="00C97FBE" w:rsidRPr="00C97FBE">
        <w:rPr>
          <w:sz w:val="20"/>
          <w:szCs w:val="20"/>
        </w:rPr>
        <w:t>UE processing capability 2 with scheduling limitation when µ</w:t>
      </w:r>
      <w:r w:rsidR="00C97FBE" w:rsidRPr="00A40204">
        <w:rPr>
          <w:sz w:val="20"/>
          <w:szCs w:val="20"/>
          <w:vertAlign w:val="subscript"/>
        </w:rPr>
        <w:t>PDSCH</w:t>
      </w:r>
      <w:r w:rsidR="00C97FBE" w:rsidRPr="00C97FBE">
        <w:rPr>
          <w:sz w:val="20"/>
          <w:szCs w:val="20"/>
        </w:rPr>
        <w:t xml:space="preserve"> = 1</w:t>
      </w:r>
      <w:r w:rsidR="00C97FBE">
        <w:rPr>
          <w:sz w:val="20"/>
          <w:szCs w:val="20"/>
        </w:rPr>
        <w:t>’</w:t>
      </w:r>
      <w:r w:rsidR="00C97FBE" w:rsidRPr="00C97FBE">
        <w:rPr>
          <w:sz w:val="20"/>
          <w:szCs w:val="20"/>
        </w:rPr>
        <w:t xml:space="preserve">, </w:t>
      </w:r>
      <w:r w:rsidR="00C97FBE">
        <w:rPr>
          <w:sz w:val="20"/>
          <w:szCs w:val="20"/>
        </w:rPr>
        <w:t>where</w:t>
      </w:r>
      <w:r w:rsidR="00C97FBE" w:rsidRPr="00C97FB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if </w:t>
      </w:r>
      <w:r w:rsidR="00C97FBE" w:rsidRPr="00C97FBE">
        <w:rPr>
          <w:sz w:val="20"/>
          <w:szCs w:val="20"/>
        </w:rPr>
        <w:t>scheduled RB allocation exceeds 136 RBs, the UE defaults to capability 1 processing time</w:t>
      </w:r>
      <w:r>
        <w:rPr>
          <w:sz w:val="20"/>
          <w:szCs w:val="20"/>
        </w:rPr>
        <w:t>, and also takes into account back-to-back scheduling according to below spec excerpt</w:t>
      </w:r>
      <w:r w:rsidR="00C97FBE" w:rsidRPr="00C97FBE">
        <w:rPr>
          <w:sz w:val="20"/>
          <w:szCs w:val="20"/>
        </w:rPr>
        <w:t>.</w:t>
      </w:r>
    </w:p>
    <w:p w14:paraId="415D890D" w14:textId="37E4A40E" w:rsidR="008930E6" w:rsidRPr="008930E6" w:rsidRDefault="008930E6" w:rsidP="00264A02">
      <w:pPr>
        <w:rPr>
          <w:sz w:val="20"/>
          <w:szCs w:val="20"/>
          <w:u w:val="single"/>
        </w:rPr>
      </w:pPr>
      <w:r w:rsidRPr="008930E6">
        <w:rPr>
          <w:sz w:val="20"/>
          <w:szCs w:val="20"/>
          <w:u w:val="single"/>
        </w:rPr>
        <w:t>From 38.214-g60, subclause 5.3</w:t>
      </w:r>
    </w:p>
    <w:p w14:paraId="3C6C9E18" w14:textId="2DF9CE4B" w:rsidR="008930E6" w:rsidRPr="008930E6" w:rsidRDefault="008930E6" w:rsidP="00264A02">
      <w:pPr>
        <w:rPr>
          <w:i/>
          <w:iCs/>
          <w:sz w:val="20"/>
          <w:szCs w:val="20"/>
        </w:rPr>
      </w:pPr>
      <w:r w:rsidRPr="008930E6">
        <w:rPr>
          <w:i/>
          <w:iCs/>
          <w:sz w:val="20"/>
          <w:szCs w:val="20"/>
        </w:rPr>
        <w:t xml:space="preserve">For UE processing capability 2 with scheduling limitation when </w:t>
      </w:r>
      <w:r w:rsidRPr="008930E6">
        <w:rPr>
          <w:i/>
          <w:iCs/>
          <w:sz w:val="20"/>
          <w:szCs w:val="20"/>
          <w:lang w:val="en-AU"/>
        </w:rPr>
        <w:t>µ</w:t>
      </w:r>
      <w:r w:rsidRPr="008930E6">
        <w:rPr>
          <w:i/>
          <w:iCs/>
          <w:sz w:val="20"/>
          <w:szCs w:val="20"/>
          <w:vertAlign w:val="subscript"/>
          <w:lang w:val="en-AU"/>
        </w:rPr>
        <w:t>PDSCH</w:t>
      </w:r>
      <w:r w:rsidRPr="008930E6">
        <w:rPr>
          <w:i/>
          <w:iCs/>
          <w:sz w:val="20"/>
          <w:szCs w:val="20"/>
        </w:rPr>
        <w:t xml:space="preserve"> = 1, if the scheduled RB allocation exceeds 136 RBs, the UE defaults to capability 1 processing time. The UE may skip decoding a number of PDSCHs with last symbol within 10 symbols before the start of a PDSCH that is scheduled to follow Capability 2, if any of those PDSCHs are scheduled with more than 136 RBs with 30kHz SCS and following Capability 1 processing time.</w:t>
      </w:r>
    </w:p>
    <w:p w14:paraId="341A38A6" w14:textId="56844540" w:rsidR="008930E6" w:rsidRPr="008930E6" w:rsidRDefault="008930E6" w:rsidP="00264A02">
      <w:pPr>
        <w:pStyle w:val="Heading1"/>
        <w:tabs>
          <w:tab w:val="clear" w:pos="747"/>
          <w:tab w:val="num" w:pos="567"/>
        </w:tabs>
        <w:ind w:left="567"/>
      </w:pPr>
      <w:r>
        <w:t>Discussion</w:t>
      </w:r>
    </w:p>
    <w:p w14:paraId="726D1E69" w14:textId="3C0BF384" w:rsidR="00264A02" w:rsidRPr="006469D6" w:rsidRDefault="00AE77B6" w:rsidP="00264A02">
      <w:pPr>
        <w:rPr>
          <w:sz w:val="20"/>
          <w:szCs w:val="20"/>
        </w:rPr>
      </w:pPr>
      <w:r w:rsidRPr="006469D6">
        <w:rPr>
          <w:sz w:val="20"/>
          <w:szCs w:val="20"/>
        </w:rPr>
        <w:t xml:space="preserve">Three options were discussed in last meeting </w:t>
      </w:r>
      <w:r>
        <w:rPr>
          <w:sz w:val="20"/>
          <w:szCs w:val="20"/>
        </w:rPr>
        <w:t xml:space="preserve">for processing time for </w:t>
      </w:r>
      <w:r w:rsidR="001B7863">
        <w:rPr>
          <w:sz w:val="20"/>
          <w:szCs w:val="20"/>
        </w:rPr>
        <w:t xml:space="preserve">receiving </w:t>
      </w:r>
      <w:r w:rsidR="00C97FBE">
        <w:rPr>
          <w:sz w:val="20"/>
          <w:szCs w:val="20"/>
        </w:rPr>
        <w:t>PDSCH</w:t>
      </w:r>
      <w:r w:rsidR="00264A02" w:rsidRPr="006469D6">
        <w:rPr>
          <w:sz w:val="20"/>
          <w:szCs w:val="20"/>
        </w:rPr>
        <w:t xml:space="preserve"> </w:t>
      </w:r>
      <w:r w:rsidR="004E2DA2">
        <w:rPr>
          <w:sz w:val="20"/>
          <w:szCs w:val="20"/>
        </w:rPr>
        <w:t xml:space="preserve">scheduled by DCI 1_0 </w:t>
      </w:r>
      <w:r>
        <w:rPr>
          <w:sz w:val="20"/>
          <w:szCs w:val="20"/>
        </w:rPr>
        <w:t>for a cap2 UE</w:t>
      </w:r>
      <w:r w:rsidR="00264A02" w:rsidRPr="006469D6">
        <w:rPr>
          <w:sz w:val="20"/>
          <w:szCs w:val="20"/>
        </w:rPr>
        <w:t xml:space="preserve">: </w:t>
      </w:r>
    </w:p>
    <w:p w14:paraId="5F348AAB" w14:textId="77777777" w:rsidR="00264A02" w:rsidRPr="006469D6" w:rsidRDefault="00264A02" w:rsidP="00264A02">
      <w:pPr>
        <w:pStyle w:val="ListParagraph"/>
        <w:numPr>
          <w:ilvl w:val="0"/>
          <w:numId w:val="17"/>
        </w:numPr>
        <w:contextualSpacing w:val="0"/>
        <w:rPr>
          <w:szCs w:val="20"/>
        </w:rPr>
      </w:pPr>
      <w:r w:rsidRPr="006469D6">
        <w:rPr>
          <w:szCs w:val="20"/>
        </w:rPr>
        <w:t xml:space="preserve">Process with (faster) cap2 processing time even for DCI 1_0 PDSCH with non-FL DMRS </w:t>
      </w:r>
    </w:p>
    <w:p w14:paraId="7DB8AAF1" w14:textId="77777777" w:rsidR="00264A02" w:rsidRPr="006469D6" w:rsidRDefault="00264A02" w:rsidP="00264A02">
      <w:pPr>
        <w:pStyle w:val="ListParagraph"/>
        <w:numPr>
          <w:ilvl w:val="0"/>
          <w:numId w:val="17"/>
        </w:numPr>
        <w:contextualSpacing w:val="0"/>
        <w:rPr>
          <w:szCs w:val="20"/>
        </w:rPr>
      </w:pPr>
      <w:r w:rsidRPr="006469D6">
        <w:rPr>
          <w:szCs w:val="20"/>
        </w:rPr>
        <w:t>Dynamic fallback to cap1 processing time for DCI 1_0 PDSCH with non-FL DMRS</w:t>
      </w:r>
    </w:p>
    <w:p w14:paraId="2791DA18" w14:textId="729C8053" w:rsidR="008E7459" w:rsidRDefault="00264A02" w:rsidP="008E7459">
      <w:pPr>
        <w:pStyle w:val="ListParagraph"/>
        <w:numPr>
          <w:ilvl w:val="0"/>
          <w:numId w:val="17"/>
        </w:numPr>
        <w:contextualSpacing w:val="0"/>
        <w:rPr>
          <w:szCs w:val="20"/>
        </w:rPr>
      </w:pPr>
      <w:r w:rsidRPr="006469D6">
        <w:rPr>
          <w:szCs w:val="20"/>
        </w:rPr>
        <w:t>Scheduling restriction that UE does not expect to receive DCI 1_0 that schedules PDSCH with non-FL DMRS i.e. with PDSCH durations l</w:t>
      </w:r>
      <w:r w:rsidRPr="006469D6">
        <w:rPr>
          <w:szCs w:val="20"/>
          <w:vertAlign w:val="subscript"/>
        </w:rPr>
        <w:t>d</w:t>
      </w:r>
      <w:r w:rsidRPr="006469D6">
        <w:rPr>
          <w:szCs w:val="20"/>
        </w:rPr>
        <w:t xml:space="preserve"> &gt; 7 for </w:t>
      </w:r>
      <w:r w:rsidR="004E2DA2">
        <w:rPr>
          <w:szCs w:val="20"/>
        </w:rPr>
        <w:t>PDSCH mapping</w:t>
      </w:r>
      <w:r w:rsidR="004E2DA2" w:rsidRPr="006469D6">
        <w:rPr>
          <w:szCs w:val="20"/>
        </w:rPr>
        <w:t xml:space="preserve"> </w:t>
      </w:r>
      <w:r w:rsidRPr="006469D6">
        <w:rPr>
          <w:szCs w:val="20"/>
        </w:rPr>
        <w:t>type-A or l</w:t>
      </w:r>
      <w:r w:rsidRPr="006469D6">
        <w:rPr>
          <w:szCs w:val="20"/>
          <w:vertAlign w:val="subscript"/>
        </w:rPr>
        <w:t>d</w:t>
      </w:r>
      <w:r w:rsidRPr="006469D6">
        <w:rPr>
          <w:szCs w:val="20"/>
        </w:rPr>
        <w:t xml:space="preserve"> &gt; 4 for </w:t>
      </w:r>
      <w:r w:rsidR="004E2DA2">
        <w:rPr>
          <w:szCs w:val="20"/>
        </w:rPr>
        <w:t>PDSCH mapping</w:t>
      </w:r>
      <w:r w:rsidR="004E2DA2" w:rsidRPr="006469D6">
        <w:rPr>
          <w:szCs w:val="20"/>
        </w:rPr>
        <w:t xml:space="preserve"> </w:t>
      </w:r>
      <w:r w:rsidRPr="006469D6">
        <w:rPr>
          <w:szCs w:val="20"/>
        </w:rPr>
        <w:t>type B</w:t>
      </w:r>
    </w:p>
    <w:p w14:paraId="43B51003" w14:textId="77777777" w:rsidR="00E26104" w:rsidRPr="00E26104" w:rsidRDefault="00E26104" w:rsidP="00E26104">
      <w:pPr>
        <w:pStyle w:val="ListParagraph"/>
        <w:contextualSpacing w:val="0"/>
        <w:rPr>
          <w:szCs w:val="20"/>
        </w:rPr>
      </w:pPr>
    </w:p>
    <w:p w14:paraId="20EF22E2" w14:textId="14413393" w:rsidR="00962576" w:rsidRDefault="008E7459" w:rsidP="008930E6">
      <w:pPr>
        <w:rPr>
          <w:rFonts w:eastAsia="Malgun Gothic"/>
          <w:bCs/>
          <w:sz w:val="20"/>
          <w:szCs w:val="20"/>
          <w:lang w:eastAsia="ko-KR"/>
        </w:rPr>
      </w:pPr>
      <w:r>
        <w:rPr>
          <w:rFonts w:eastAsiaTheme="minorHAnsi"/>
          <w:sz w:val="20"/>
          <w:szCs w:val="20"/>
        </w:rPr>
        <w:t xml:space="preserve">Fallback DCI format provides robust performance, and is used for link maintenance, RRC reconfiguration, etc. </w:t>
      </w:r>
      <w:r w:rsidR="00AE77B6">
        <w:rPr>
          <w:rFonts w:eastAsiaTheme="minorHAnsi"/>
          <w:sz w:val="20"/>
          <w:szCs w:val="20"/>
        </w:rPr>
        <w:t>A</w:t>
      </w:r>
      <w:r>
        <w:rPr>
          <w:rFonts w:eastAsiaTheme="minorHAnsi"/>
          <w:sz w:val="20"/>
          <w:szCs w:val="20"/>
        </w:rPr>
        <w:t xml:space="preserve">dding scheduling restriction </w:t>
      </w:r>
      <w:r w:rsidR="00AE77B6">
        <w:rPr>
          <w:rFonts w:eastAsiaTheme="minorHAnsi"/>
          <w:sz w:val="20"/>
          <w:szCs w:val="20"/>
        </w:rPr>
        <w:t xml:space="preserve">such as 3) </w:t>
      </w:r>
      <w:r w:rsidR="00EF59D6">
        <w:rPr>
          <w:rFonts w:eastAsiaTheme="minorHAnsi"/>
          <w:sz w:val="20"/>
          <w:szCs w:val="20"/>
        </w:rPr>
        <w:t>for such</w:t>
      </w:r>
      <w:r>
        <w:rPr>
          <w:rFonts w:eastAsiaTheme="minorHAnsi"/>
          <w:sz w:val="20"/>
          <w:szCs w:val="20"/>
        </w:rPr>
        <w:t xml:space="preserve"> DCI format is undesirable and impacts system complexity and flexibility. </w:t>
      </w:r>
      <w:r w:rsidR="008930E6">
        <w:rPr>
          <w:rFonts w:eastAsia="Malgun Gothic"/>
          <w:bCs/>
          <w:sz w:val="20"/>
          <w:szCs w:val="20"/>
          <w:lang w:eastAsia="ko-KR"/>
        </w:rPr>
        <w:t xml:space="preserve"> </w:t>
      </w:r>
    </w:p>
    <w:p w14:paraId="6CC22EF3" w14:textId="3583DAE4" w:rsidR="00962576" w:rsidRDefault="008930E6" w:rsidP="008930E6">
      <w:pPr>
        <w:rPr>
          <w:rFonts w:eastAsia="Malgun Gothic"/>
          <w:bCs/>
          <w:sz w:val="20"/>
          <w:szCs w:val="20"/>
          <w:lang w:eastAsia="ko-KR"/>
        </w:rPr>
      </w:pPr>
      <w:r>
        <w:rPr>
          <w:rFonts w:eastAsia="Malgun Gothic"/>
          <w:bCs/>
          <w:sz w:val="20"/>
          <w:szCs w:val="20"/>
          <w:lang w:eastAsia="ko-KR"/>
        </w:rPr>
        <w:lastRenderedPageBreak/>
        <w:t>Our interpretation is that processing time shall be according to 1)</w:t>
      </w:r>
      <w:r w:rsidR="00E51167">
        <w:rPr>
          <w:rFonts w:eastAsia="Malgun Gothic"/>
          <w:bCs/>
          <w:sz w:val="20"/>
          <w:szCs w:val="20"/>
          <w:lang w:eastAsia="ko-KR"/>
        </w:rPr>
        <w:t>. However,</w:t>
      </w:r>
      <w:r>
        <w:rPr>
          <w:rFonts w:eastAsia="Malgun Gothic"/>
          <w:bCs/>
          <w:sz w:val="20"/>
          <w:szCs w:val="20"/>
          <w:lang w:eastAsia="ko-KR"/>
        </w:rPr>
        <w:t xml:space="preserve"> </w:t>
      </w:r>
      <w:r w:rsidR="00E51167">
        <w:rPr>
          <w:rFonts w:eastAsia="Malgun Gothic"/>
          <w:bCs/>
          <w:sz w:val="20"/>
          <w:szCs w:val="20"/>
          <w:lang w:eastAsia="ko-KR"/>
        </w:rPr>
        <w:t xml:space="preserve">given the discussions so far, </w:t>
      </w:r>
      <w:r>
        <w:rPr>
          <w:rFonts w:eastAsia="Malgun Gothic"/>
          <w:bCs/>
          <w:sz w:val="20"/>
          <w:szCs w:val="20"/>
          <w:lang w:eastAsia="ko-KR"/>
        </w:rPr>
        <w:t>we would be open to considering 2)</w:t>
      </w:r>
      <w:r w:rsidR="00DF2714">
        <w:rPr>
          <w:rFonts w:eastAsia="Malgun Gothic"/>
          <w:bCs/>
          <w:sz w:val="20"/>
          <w:szCs w:val="20"/>
          <w:lang w:eastAsia="ko-KR"/>
        </w:rPr>
        <w:t xml:space="preserve"> if such a need is identified</w:t>
      </w:r>
      <w:r w:rsidR="00E51167">
        <w:rPr>
          <w:rFonts w:eastAsia="Malgun Gothic"/>
          <w:bCs/>
          <w:sz w:val="20"/>
          <w:szCs w:val="20"/>
          <w:lang w:eastAsia="ko-KR"/>
        </w:rPr>
        <w:t>. H</w:t>
      </w:r>
      <w:r>
        <w:rPr>
          <w:rFonts w:eastAsia="Malgun Gothic"/>
          <w:bCs/>
          <w:sz w:val="20"/>
          <w:szCs w:val="20"/>
          <w:lang w:eastAsia="ko-KR"/>
        </w:rPr>
        <w:t xml:space="preserve">ow fast </w:t>
      </w:r>
      <w:r w:rsidR="004E2DA2">
        <w:rPr>
          <w:rFonts w:eastAsia="Malgun Gothic"/>
          <w:bCs/>
          <w:sz w:val="20"/>
          <w:szCs w:val="20"/>
          <w:lang w:eastAsia="ko-KR"/>
        </w:rPr>
        <w:t xml:space="preserve">a </w:t>
      </w:r>
      <w:r>
        <w:rPr>
          <w:rFonts w:eastAsia="Malgun Gothic"/>
          <w:bCs/>
          <w:sz w:val="20"/>
          <w:szCs w:val="20"/>
          <w:lang w:eastAsia="ko-KR"/>
        </w:rPr>
        <w:t>PDSCH</w:t>
      </w:r>
      <w:r w:rsidR="004E2DA2">
        <w:rPr>
          <w:rFonts w:eastAsia="Malgun Gothic"/>
          <w:bCs/>
          <w:sz w:val="20"/>
          <w:szCs w:val="20"/>
          <w:lang w:eastAsia="ko-KR"/>
        </w:rPr>
        <w:t xml:space="preserve"> scheduled by DCI 1_0</w:t>
      </w:r>
      <w:r>
        <w:rPr>
          <w:rFonts w:eastAsia="Malgun Gothic"/>
          <w:bCs/>
          <w:sz w:val="20"/>
          <w:szCs w:val="20"/>
          <w:lang w:eastAsia="ko-KR"/>
        </w:rPr>
        <w:t xml:space="preserve"> can be processed is not an essential issue, it is more important that UE handles same PDSCH combinations as for cap#1 to ensure the RRC reconfiguration messages are not adversely impacted. </w:t>
      </w:r>
      <w:r w:rsidR="00962576">
        <w:rPr>
          <w:rFonts w:eastAsia="Malgun Gothic"/>
          <w:bCs/>
          <w:sz w:val="20"/>
          <w:szCs w:val="20"/>
          <w:lang w:eastAsia="ko-KR"/>
        </w:rPr>
        <w:t xml:space="preserve">There is already </w:t>
      </w:r>
      <w:r w:rsidR="00EF59D6">
        <w:rPr>
          <w:rFonts w:eastAsia="Malgun Gothic"/>
          <w:bCs/>
          <w:sz w:val="20"/>
          <w:szCs w:val="20"/>
          <w:lang w:eastAsia="ko-KR"/>
        </w:rPr>
        <w:t>a</w:t>
      </w:r>
      <w:r w:rsidR="00962576">
        <w:rPr>
          <w:rFonts w:eastAsia="Malgun Gothic"/>
          <w:bCs/>
          <w:sz w:val="20"/>
          <w:szCs w:val="20"/>
          <w:lang w:eastAsia="ko-KR"/>
        </w:rPr>
        <w:t xml:space="preserve"> precedent in the spec for a cap 2 UE to default to cap 1 timing. The same principle can be reused. </w:t>
      </w:r>
    </w:p>
    <w:p w14:paraId="7C32E1DF" w14:textId="71B1AABF" w:rsidR="00925963" w:rsidRDefault="00DF2714" w:rsidP="008930E6">
      <w:pPr>
        <w:rPr>
          <w:rFonts w:eastAsia="Malgun Gothic"/>
          <w:bCs/>
          <w:sz w:val="20"/>
          <w:szCs w:val="20"/>
          <w:lang w:eastAsia="ko-KR"/>
        </w:rPr>
      </w:pPr>
      <w:r>
        <w:rPr>
          <w:rFonts w:eastAsia="Malgun Gothic"/>
          <w:bCs/>
          <w:sz w:val="20"/>
          <w:szCs w:val="20"/>
          <w:lang w:eastAsia="ko-KR"/>
        </w:rPr>
        <w:t>W</w:t>
      </w:r>
      <w:r w:rsidR="00B12C02">
        <w:rPr>
          <w:rFonts w:eastAsia="Malgun Gothic"/>
          <w:bCs/>
          <w:sz w:val="20"/>
          <w:szCs w:val="20"/>
          <w:lang w:eastAsia="ko-KR"/>
        </w:rPr>
        <w:t xml:space="preserve">e propose that </w:t>
      </w:r>
      <w:r w:rsidR="00DA411D">
        <w:rPr>
          <w:rFonts w:eastAsia="Malgun Gothic"/>
          <w:bCs/>
          <w:sz w:val="20"/>
          <w:szCs w:val="20"/>
          <w:lang w:eastAsia="ko-KR"/>
        </w:rPr>
        <w:t>i</w:t>
      </w:r>
      <w:r w:rsidR="00DA411D" w:rsidRPr="00DA411D">
        <w:rPr>
          <w:rFonts w:eastAsia="Malgun Gothic"/>
          <w:bCs/>
          <w:sz w:val="20"/>
          <w:szCs w:val="20"/>
          <w:lang w:eastAsia="ko-KR"/>
        </w:rPr>
        <w:t>f a need for clarification is identified</w:t>
      </w:r>
      <w:r w:rsidR="00DA411D">
        <w:rPr>
          <w:rFonts w:eastAsia="Malgun Gothic"/>
          <w:bCs/>
          <w:sz w:val="20"/>
          <w:szCs w:val="20"/>
          <w:lang w:eastAsia="ko-KR"/>
        </w:rPr>
        <w:t>,</w:t>
      </w:r>
      <w:r w:rsidR="00DA411D" w:rsidRPr="00DA411D">
        <w:rPr>
          <w:rFonts w:eastAsia="Malgun Gothic"/>
          <w:bCs/>
          <w:sz w:val="20"/>
          <w:szCs w:val="20"/>
          <w:lang w:eastAsia="ko-KR"/>
        </w:rPr>
        <w:t xml:space="preserve"> </w:t>
      </w:r>
      <w:r w:rsidR="00165CF6">
        <w:rPr>
          <w:rFonts w:eastAsia="Malgun Gothic"/>
          <w:bCs/>
          <w:sz w:val="20"/>
          <w:szCs w:val="20"/>
          <w:lang w:eastAsia="ko-KR"/>
        </w:rPr>
        <w:t>TP</w:t>
      </w:r>
      <w:r w:rsidR="00E51167">
        <w:rPr>
          <w:rFonts w:eastAsia="Malgun Gothic"/>
          <w:bCs/>
          <w:sz w:val="20"/>
          <w:szCs w:val="20"/>
          <w:lang w:eastAsia="ko-KR"/>
        </w:rPr>
        <w:t xml:space="preserve"> (based on 2</w:t>
      </w:r>
      <w:r w:rsidR="004E2DA2">
        <w:rPr>
          <w:rFonts w:eastAsia="Malgun Gothic"/>
          <w:bCs/>
          <w:sz w:val="20"/>
          <w:szCs w:val="20"/>
          <w:lang w:eastAsia="ko-KR"/>
        </w:rPr>
        <w:t>) above</w:t>
      </w:r>
      <w:r w:rsidR="00E51167">
        <w:rPr>
          <w:rFonts w:eastAsia="Malgun Gothic"/>
          <w:bCs/>
          <w:sz w:val="20"/>
          <w:szCs w:val="20"/>
          <w:lang w:eastAsia="ko-KR"/>
        </w:rPr>
        <w:t>)</w:t>
      </w:r>
      <w:r w:rsidR="00925963">
        <w:rPr>
          <w:rFonts w:eastAsia="Malgun Gothic"/>
          <w:bCs/>
          <w:sz w:val="20"/>
          <w:szCs w:val="20"/>
          <w:lang w:eastAsia="ko-KR"/>
        </w:rPr>
        <w:t xml:space="preserve"> </w:t>
      </w:r>
      <w:r w:rsidR="00B12C02">
        <w:rPr>
          <w:rFonts w:eastAsia="Malgun Gothic"/>
          <w:bCs/>
          <w:sz w:val="20"/>
          <w:szCs w:val="20"/>
          <w:lang w:eastAsia="ko-KR"/>
        </w:rPr>
        <w:t xml:space="preserve">can </w:t>
      </w:r>
      <w:r w:rsidR="00042A0D">
        <w:rPr>
          <w:rFonts w:eastAsia="Malgun Gothic"/>
          <w:bCs/>
          <w:sz w:val="20"/>
          <w:szCs w:val="20"/>
          <w:lang w:eastAsia="ko-KR"/>
        </w:rPr>
        <w:t xml:space="preserve">be </w:t>
      </w:r>
      <w:r w:rsidR="00B12C02">
        <w:rPr>
          <w:rFonts w:eastAsia="Malgun Gothic"/>
          <w:bCs/>
          <w:sz w:val="20"/>
          <w:szCs w:val="20"/>
          <w:lang w:eastAsia="ko-KR"/>
        </w:rPr>
        <w:t>considered</w:t>
      </w:r>
      <w:r w:rsidR="00925963">
        <w:rPr>
          <w:rFonts w:eastAsia="Malgun Gothic"/>
          <w:bCs/>
          <w:sz w:val="20"/>
          <w:szCs w:val="20"/>
          <w:lang w:eastAsia="ko-KR"/>
        </w:rPr>
        <w:t>.</w:t>
      </w:r>
    </w:p>
    <w:p w14:paraId="17B90C9E" w14:textId="4541052D" w:rsidR="00F42720" w:rsidRDefault="00F42720" w:rsidP="00264A02">
      <w:pPr>
        <w:pStyle w:val="Heading1"/>
        <w:tabs>
          <w:tab w:val="clear" w:pos="747"/>
          <w:tab w:val="num" w:pos="567"/>
        </w:tabs>
        <w:ind w:left="567"/>
      </w:pPr>
      <w:r>
        <w:t>Conclusion</w:t>
      </w:r>
    </w:p>
    <w:p w14:paraId="596C1310" w14:textId="4A22CEE1" w:rsidR="00A904B8" w:rsidRPr="00A904B8" w:rsidRDefault="00260071" w:rsidP="00A904B8">
      <w:pPr>
        <w:pStyle w:val="BodyText"/>
        <w:rPr>
          <w:b/>
          <w:bCs/>
          <w:szCs w:val="20"/>
        </w:rPr>
      </w:pPr>
      <w:r w:rsidRPr="00260071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 xml:space="preserve">1 </w:t>
      </w:r>
      <w:r w:rsidRPr="00260071">
        <w:rPr>
          <w:b/>
          <w:bCs/>
          <w:szCs w:val="20"/>
        </w:rPr>
        <w:t xml:space="preserve">: </w:t>
      </w:r>
      <w:r w:rsidR="00A904B8" w:rsidRPr="00A904B8">
        <w:rPr>
          <w:b/>
          <w:bCs/>
          <w:szCs w:val="20"/>
        </w:rPr>
        <w:t xml:space="preserve">If a need for clarification is identified to conclude on processing time for DCI 1_0 PDSCH for a UE configured with PDSCH processing capability 2, RAN1 uses the approach shown in </w:t>
      </w:r>
      <w:r w:rsidR="004F1B49">
        <w:rPr>
          <w:b/>
          <w:bCs/>
          <w:szCs w:val="20"/>
        </w:rPr>
        <w:t>TP below</w:t>
      </w:r>
      <w:r w:rsidR="00A904B8" w:rsidRPr="00A904B8">
        <w:rPr>
          <w:b/>
          <w:bCs/>
          <w:szCs w:val="20"/>
        </w:rPr>
        <w:t>.</w:t>
      </w:r>
    </w:p>
    <w:p w14:paraId="7E08412E" w14:textId="494492C1" w:rsidR="004F1B49" w:rsidRDefault="004F1B49" w:rsidP="004F1B49">
      <w:pPr>
        <w:pStyle w:val="Heading2"/>
        <w:numPr>
          <w:ilvl w:val="0"/>
          <w:numId w:val="0"/>
        </w:numPr>
        <w:ind w:left="567" w:hanging="567"/>
        <w:rPr>
          <w:color w:val="000000"/>
        </w:rPr>
      </w:pPr>
      <w:r>
        <w:rPr>
          <w:color w:val="000000"/>
        </w:rPr>
        <w:t>TP for subclause 5.3 of 38.214-15.13.0</w:t>
      </w:r>
    </w:p>
    <w:p w14:paraId="346762B5" w14:textId="5B00AB80" w:rsidR="004F1B49" w:rsidRDefault="004F1B49" w:rsidP="004F1B49">
      <w:pPr>
        <w:pStyle w:val="B1"/>
        <w:rPr>
          <w:b/>
          <w:bCs/>
        </w:rPr>
      </w:pPr>
      <w:r>
        <w:rPr>
          <w:b/>
          <w:bCs/>
        </w:rPr>
        <w:t>&lt;omit unchanged text&gt;</w:t>
      </w:r>
    </w:p>
    <w:p w14:paraId="4ADA18A2" w14:textId="77777777" w:rsidR="004F1B49" w:rsidRDefault="004F1B49" w:rsidP="004F1B49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PDSCH-ServingCellConfig</w:t>
      </w:r>
      <w:r w:rsidRPr="00303D0F">
        <w:t xml:space="preserve"> is configured for the cell and set to </w:t>
      </w:r>
      <w:r w:rsidRPr="00303D0F">
        <w:rPr>
          <w:i/>
        </w:rPr>
        <w:t>enable</w:t>
      </w:r>
      <w:r>
        <w:t>.</w:t>
      </w:r>
    </w:p>
    <w:p w14:paraId="2BEFDA0A" w14:textId="30A03DC7" w:rsidR="004F1B49" w:rsidRPr="00097AAE" w:rsidRDefault="004F1B49" w:rsidP="004F1B49">
      <w:pPr>
        <w:pStyle w:val="B1"/>
        <w:rPr>
          <w:color w:val="C45911" w:themeColor="accent2" w:themeShade="BF"/>
        </w:rPr>
      </w:pPr>
      <w:r w:rsidRPr="00097AAE">
        <w:rPr>
          <w:color w:val="C45911" w:themeColor="accent2" w:themeShade="BF"/>
        </w:rPr>
        <w:t>-</w:t>
      </w:r>
      <w:r w:rsidRPr="00097AAE">
        <w:rPr>
          <w:color w:val="C45911" w:themeColor="accent2" w:themeShade="BF"/>
        </w:rPr>
        <w:tab/>
      </w:r>
      <w:r w:rsidR="009966C9" w:rsidRPr="00097AAE">
        <w:rPr>
          <w:color w:val="C45911" w:themeColor="accent2" w:themeShade="BF"/>
          <w:u w:val="single"/>
        </w:rPr>
        <w:t>On a given cell, f</w:t>
      </w:r>
      <w:r w:rsidRPr="00097AAE">
        <w:rPr>
          <w:color w:val="C45911" w:themeColor="accent2" w:themeShade="BF"/>
          <w:u w:val="single"/>
        </w:rPr>
        <w:t xml:space="preserve">or UE processing capability 2 and a PDSCH scheduled by DCI format 1_0 and with no additional DM-RS present in the PDSCH duration, the UE shall follow capability 2 processing time for the PDSCH.  For UE processing capability 2 and a PDSCH scheduled by DCI format 1_0 and with additional DM-RS present in the PDSCH duration, the UE defaults to capability 1 processing time for the PDSCH. The UE may skip decoding a number of PDSCHs with last symbol within N symbols before the start of a PDSCH that is scheduled to follow </w:t>
      </w:r>
      <w:r w:rsidR="001B4D25">
        <w:rPr>
          <w:color w:val="C45911" w:themeColor="accent2" w:themeShade="BF"/>
          <w:u w:val="single"/>
        </w:rPr>
        <w:t>c</w:t>
      </w:r>
      <w:r w:rsidRPr="00097AAE">
        <w:rPr>
          <w:color w:val="C45911" w:themeColor="accent2" w:themeShade="BF"/>
          <w:u w:val="single"/>
        </w:rPr>
        <w:t>apability 2</w:t>
      </w:r>
      <w:r w:rsidR="001B4D25">
        <w:rPr>
          <w:color w:val="C45911" w:themeColor="accent2" w:themeShade="BF"/>
          <w:u w:val="single"/>
        </w:rPr>
        <w:t xml:space="preserve"> processing time</w:t>
      </w:r>
      <w:r w:rsidRPr="00097AAE">
        <w:rPr>
          <w:color w:val="C45911" w:themeColor="accent2" w:themeShade="BF"/>
          <w:u w:val="single"/>
        </w:rPr>
        <w:t xml:space="preserve">, if any of those PDSCHs are scheduled with DCI 1_0 following </w:t>
      </w:r>
      <w:r w:rsidR="00097AAE" w:rsidRPr="00097AAE">
        <w:rPr>
          <w:color w:val="C45911" w:themeColor="accent2" w:themeShade="BF"/>
          <w:u w:val="single"/>
        </w:rPr>
        <w:t>c</w:t>
      </w:r>
      <w:r w:rsidRPr="00097AAE">
        <w:rPr>
          <w:color w:val="C45911" w:themeColor="accent2" w:themeShade="BF"/>
          <w:u w:val="single"/>
        </w:rPr>
        <w:t>apability 1 processing time, where N = 8 for PDSCH with 15kHZ SCS, N = 10 for PDSCH with 30kHZ SCS, N = 17 for PDSCH with 60kHZ SCS.</w:t>
      </w:r>
    </w:p>
    <w:p w14:paraId="2B8C8DA5" w14:textId="77777777" w:rsidR="004F1B49" w:rsidRPr="0048482F" w:rsidRDefault="004F1B49" w:rsidP="004F1B49">
      <w:pPr>
        <w:pStyle w:val="B1"/>
        <w:rPr>
          <w:i/>
        </w:rPr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p w14:paraId="04A65554" w14:textId="2F754587" w:rsidR="00A904B8" w:rsidRDefault="004F1B49" w:rsidP="00260071">
      <w:pPr>
        <w:pStyle w:val="BodyText"/>
        <w:rPr>
          <w:b/>
          <w:bCs/>
          <w:szCs w:val="20"/>
        </w:rPr>
      </w:pPr>
      <w:r>
        <w:rPr>
          <w:b/>
          <w:bCs/>
          <w:szCs w:val="20"/>
        </w:rPr>
        <w:t>&lt;omit unchanged text&gt;</w:t>
      </w:r>
    </w:p>
    <w:p w14:paraId="54CB4C1B" w14:textId="77777777" w:rsidR="00F42720" w:rsidRDefault="00F42720" w:rsidP="00E6317A">
      <w:pPr>
        <w:pStyle w:val="Heading1"/>
        <w:ind w:left="567"/>
      </w:pPr>
      <w:r>
        <w:t>References</w:t>
      </w:r>
    </w:p>
    <w:p w14:paraId="607530E2" w14:textId="46B03BBC" w:rsidR="00670928" w:rsidRDefault="00F42720" w:rsidP="000D7396">
      <w:pPr>
        <w:pStyle w:val="BodyText"/>
      </w:pPr>
      <w:r w:rsidRPr="0081438F">
        <w:t xml:space="preserve">[1] </w:t>
      </w:r>
      <w:hyperlink r:id="rId7" w:history="1">
        <w:r w:rsidR="000D7396">
          <w:rPr>
            <w:rStyle w:val="Hyperlink"/>
          </w:rPr>
          <w:t>R1-2106026</w:t>
        </w:r>
      </w:hyperlink>
      <w:r w:rsidR="000D7396">
        <w:t xml:space="preserve">, Moderator(Intel), </w:t>
      </w:r>
      <w:r w:rsidR="000D7396" w:rsidRPr="000D7396">
        <w:t>Summary of discussion on PDSCH processing time per Capability 2 and DCI format 1_0, RAN WG1 Meeting #105-E, May 2021</w:t>
      </w:r>
      <w:r w:rsidR="000D7396">
        <w:rPr>
          <w:rFonts w:ascii="Arial" w:hAnsi="Arial" w:cs="Arial"/>
          <w:b/>
          <w:sz w:val="24"/>
        </w:rPr>
        <w:t xml:space="preserve">  </w:t>
      </w:r>
    </w:p>
    <w:p w14:paraId="2A8446A6" w14:textId="14A4298D" w:rsidR="008D14C7" w:rsidRDefault="008D14C7"/>
    <w:sectPr w:rsidR="008D14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F4627" w14:textId="77777777" w:rsidR="00405752" w:rsidRDefault="00405752">
      <w:r>
        <w:separator/>
      </w:r>
    </w:p>
  </w:endnote>
  <w:endnote w:type="continuationSeparator" w:id="0">
    <w:p w14:paraId="4CF23272" w14:textId="77777777" w:rsidR="00405752" w:rsidRDefault="00405752">
      <w:r>
        <w:continuationSeparator/>
      </w:r>
    </w:p>
  </w:endnote>
  <w:endnote w:type="continuationNotice" w:id="1">
    <w:p w14:paraId="6B72BC14" w14:textId="77777777" w:rsidR="00405752" w:rsidRDefault="00405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0D6570" w14:textId="77777777" w:rsidR="004E2DA2" w:rsidRDefault="004E2D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F940DF" w14:textId="77777777" w:rsidR="004E2DA2" w:rsidRDefault="004E2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A4B2A" w14:textId="77777777" w:rsidR="00405752" w:rsidRDefault="00405752">
      <w:r>
        <w:separator/>
      </w:r>
    </w:p>
  </w:footnote>
  <w:footnote w:type="continuationSeparator" w:id="0">
    <w:p w14:paraId="454042F6" w14:textId="77777777" w:rsidR="00405752" w:rsidRDefault="00405752">
      <w:r>
        <w:continuationSeparator/>
      </w:r>
    </w:p>
  </w:footnote>
  <w:footnote w:type="continuationNotice" w:id="1">
    <w:p w14:paraId="6985068E" w14:textId="77777777" w:rsidR="00405752" w:rsidRDefault="004057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52AA5" w14:textId="77777777" w:rsidR="004E2DA2" w:rsidRDefault="004E2DA2" w:rsidP="00A904B8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D4682"/>
    <w:multiLevelType w:val="hybridMultilevel"/>
    <w:tmpl w:val="3E906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9288E"/>
    <w:multiLevelType w:val="hybridMultilevel"/>
    <w:tmpl w:val="305817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135C5"/>
    <w:multiLevelType w:val="hybridMultilevel"/>
    <w:tmpl w:val="24B6AF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8487B"/>
    <w:multiLevelType w:val="hybridMultilevel"/>
    <w:tmpl w:val="81201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D1FAF"/>
    <w:multiLevelType w:val="hybridMultilevel"/>
    <w:tmpl w:val="C28C1EB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287D21"/>
    <w:multiLevelType w:val="hybridMultilevel"/>
    <w:tmpl w:val="18F284B6"/>
    <w:lvl w:ilvl="0" w:tplc="7D42E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4C70BA"/>
    <w:multiLevelType w:val="hybridMultilevel"/>
    <w:tmpl w:val="2F8E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7108B"/>
    <w:multiLevelType w:val="hybridMultilevel"/>
    <w:tmpl w:val="BB2C3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2009A6"/>
    <w:multiLevelType w:val="hybridMultilevel"/>
    <w:tmpl w:val="9D3202E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5449D7"/>
    <w:multiLevelType w:val="hybridMultilevel"/>
    <w:tmpl w:val="05C826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935A22"/>
    <w:multiLevelType w:val="hybridMultilevel"/>
    <w:tmpl w:val="394A5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47FDF"/>
    <w:multiLevelType w:val="hybridMultilevel"/>
    <w:tmpl w:val="E7F65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2349C"/>
    <w:multiLevelType w:val="hybridMultilevel"/>
    <w:tmpl w:val="5B3A2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747"/>
        </w:tabs>
        <w:ind w:left="74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14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13"/>
  </w:num>
  <w:num w:numId="10">
    <w:abstractNumId w:val="0"/>
  </w:num>
  <w:num w:numId="11">
    <w:abstractNumId w:val="14"/>
  </w:num>
  <w:num w:numId="12">
    <w:abstractNumId w:val="16"/>
  </w:num>
  <w:num w:numId="13">
    <w:abstractNumId w:val="16"/>
  </w:num>
  <w:num w:numId="14">
    <w:abstractNumId w:val="16"/>
  </w:num>
  <w:num w:numId="15">
    <w:abstractNumId w:val="10"/>
  </w:num>
  <w:num w:numId="16">
    <w:abstractNumId w:val="14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</w:num>
  <w:num w:numId="19">
    <w:abstractNumId w:val="9"/>
  </w:num>
  <w:num w:numId="20">
    <w:abstractNumId w:val="5"/>
  </w:num>
  <w:num w:numId="21">
    <w:abstractNumId w:val="15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20"/>
    <w:rsid w:val="00042A0D"/>
    <w:rsid w:val="00046037"/>
    <w:rsid w:val="00053183"/>
    <w:rsid w:val="00066E18"/>
    <w:rsid w:val="0007543C"/>
    <w:rsid w:val="00097AAE"/>
    <w:rsid w:val="000D7396"/>
    <w:rsid w:val="001156C8"/>
    <w:rsid w:val="00123EE7"/>
    <w:rsid w:val="00126C7C"/>
    <w:rsid w:val="00135305"/>
    <w:rsid w:val="0014644A"/>
    <w:rsid w:val="001613DB"/>
    <w:rsid w:val="001640F3"/>
    <w:rsid w:val="00164EE3"/>
    <w:rsid w:val="00165CF6"/>
    <w:rsid w:val="00171AA1"/>
    <w:rsid w:val="001B2B9C"/>
    <w:rsid w:val="001B4D25"/>
    <w:rsid w:val="001B7863"/>
    <w:rsid w:val="002250D4"/>
    <w:rsid w:val="00235EAD"/>
    <w:rsid w:val="00255806"/>
    <w:rsid w:val="00260071"/>
    <w:rsid w:val="00261B7C"/>
    <w:rsid w:val="00264A02"/>
    <w:rsid w:val="00267DF5"/>
    <w:rsid w:val="002936AF"/>
    <w:rsid w:val="002A0AF1"/>
    <w:rsid w:val="002D6539"/>
    <w:rsid w:val="002E00FE"/>
    <w:rsid w:val="002F7DEE"/>
    <w:rsid w:val="00332036"/>
    <w:rsid w:val="00367E63"/>
    <w:rsid w:val="00390B50"/>
    <w:rsid w:val="003934AC"/>
    <w:rsid w:val="003B55E7"/>
    <w:rsid w:val="003B691F"/>
    <w:rsid w:val="003B7C25"/>
    <w:rsid w:val="003D223A"/>
    <w:rsid w:val="003F2689"/>
    <w:rsid w:val="0040408C"/>
    <w:rsid w:val="00404950"/>
    <w:rsid w:val="00405752"/>
    <w:rsid w:val="0040760E"/>
    <w:rsid w:val="004304CD"/>
    <w:rsid w:val="00434565"/>
    <w:rsid w:val="00436751"/>
    <w:rsid w:val="004443F1"/>
    <w:rsid w:val="00453493"/>
    <w:rsid w:val="00462A27"/>
    <w:rsid w:val="004B1448"/>
    <w:rsid w:val="004E2DA2"/>
    <w:rsid w:val="004F1B49"/>
    <w:rsid w:val="005143F9"/>
    <w:rsid w:val="00514968"/>
    <w:rsid w:val="00526B67"/>
    <w:rsid w:val="00533BB5"/>
    <w:rsid w:val="005348AE"/>
    <w:rsid w:val="00551670"/>
    <w:rsid w:val="005A39F3"/>
    <w:rsid w:val="005B22CD"/>
    <w:rsid w:val="005C5812"/>
    <w:rsid w:val="005D5708"/>
    <w:rsid w:val="00610EAF"/>
    <w:rsid w:val="0062283B"/>
    <w:rsid w:val="0062631C"/>
    <w:rsid w:val="00630FF5"/>
    <w:rsid w:val="0063157E"/>
    <w:rsid w:val="006469D6"/>
    <w:rsid w:val="0065351E"/>
    <w:rsid w:val="006619B2"/>
    <w:rsid w:val="00666617"/>
    <w:rsid w:val="00666906"/>
    <w:rsid w:val="00667A93"/>
    <w:rsid w:val="00667C7E"/>
    <w:rsid w:val="00670928"/>
    <w:rsid w:val="006A05BC"/>
    <w:rsid w:val="006B2E38"/>
    <w:rsid w:val="0071265F"/>
    <w:rsid w:val="00716BF6"/>
    <w:rsid w:val="00730D8C"/>
    <w:rsid w:val="00736036"/>
    <w:rsid w:val="007A313D"/>
    <w:rsid w:val="007E63D8"/>
    <w:rsid w:val="00810948"/>
    <w:rsid w:val="00821EDD"/>
    <w:rsid w:val="008570C9"/>
    <w:rsid w:val="008751C3"/>
    <w:rsid w:val="008930E6"/>
    <w:rsid w:val="008B6A1B"/>
    <w:rsid w:val="008D14C7"/>
    <w:rsid w:val="008E7459"/>
    <w:rsid w:val="008F189A"/>
    <w:rsid w:val="008F5696"/>
    <w:rsid w:val="008F66D9"/>
    <w:rsid w:val="009220D7"/>
    <w:rsid w:val="00925963"/>
    <w:rsid w:val="00941690"/>
    <w:rsid w:val="00954E34"/>
    <w:rsid w:val="00962576"/>
    <w:rsid w:val="00974CE3"/>
    <w:rsid w:val="00983156"/>
    <w:rsid w:val="009966C9"/>
    <w:rsid w:val="00A40204"/>
    <w:rsid w:val="00A40618"/>
    <w:rsid w:val="00A70B54"/>
    <w:rsid w:val="00A904B8"/>
    <w:rsid w:val="00AC028D"/>
    <w:rsid w:val="00AE77B6"/>
    <w:rsid w:val="00B12C02"/>
    <w:rsid w:val="00B25D54"/>
    <w:rsid w:val="00B337C1"/>
    <w:rsid w:val="00B53EE2"/>
    <w:rsid w:val="00B775D2"/>
    <w:rsid w:val="00C17037"/>
    <w:rsid w:val="00C21876"/>
    <w:rsid w:val="00C325E5"/>
    <w:rsid w:val="00C3505A"/>
    <w:rsid w:val="00C650F1"/>
    <w:rsid w:val="00C656D9"/>
    <w:rsid w:val="00C8784E"/>
    <w:rsid w:val="00C97FBE"/>
    <w:rsid w:val="00CB0963"/>
    <w:rsid w:val="00CB2652"/>
    <w:rsid w:val="00CC023A"/>
    <w:rsid w:val="00CC414F"/>
    <w:rsid w:val="00CC68BE"/>
    <w:rsid w:val="00CF3433"/>
    <w:rsid w:val="00D2632C"/>
    <w:rsid w:val="00D32505"/>
    <w:rsid w:val="00D37955"/>
    <w:rsid w:val="00D46FFF"/>
    <w:rsid w:val="00D716E3"/>
    <w:rsid w:val="00D71864"/>
    <w:rsid w:val="00DA2F7E"/>
    <w:rsid w:val="00DA411D"/>
    <w:rsid w:val="00DC0C98"/>
    <w:rsid w:val="00DC1AAC"/>
    <w:rsid w:val="00DC5755"/>
    <w:rsid w:val="00DF2714"/>
    <w:rsid w:val="00E109CC"/>
    <w:rsid w:val="00E26104"/>
    <w:rsid w:val="00E46328"/>
    <w:rsid w:val="00E51167"/>
    <w:rsid w:val="00E6317A"/>
    <w:rsid w:val="00E908CD"/>
    <w:rsid w:val="00E921C4"/>
    <w:rsid w:val="00EB32FC"/>
    <w:rsid w:val="00EC4428"/>
    <w:rsid w:val="00EC7093"/>
    <w:rsid w:val="00ED74AC"/>
    <w:rsid w:val="00EF243E"/>
    <w:rsid w:val="00EF59D6"/>
    <w:rsid w:val="00F2009F"/>
    <w:rsid w:val="00F42720"/>
    <w:rsid w:val="00F45CE9"/>
    <w:rsid w:val="00F50CF1"/>
    <w:rsid w:val="00F5410E"/>
    <w:rsid w:val="00F67710"/>
    <w:rsid w:val="00F777C5"/>
    <w:rsid w:val="00F816A0"/>
    <w:rsid w:val="00FB58BA"/>
    <w:rsid w:val="00FD09EE"/>
    <w:rsid w:val="00FE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5D7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43E"/>
    <w:pPr>
      <w:autoSpaceDE w:val="0"/>
      <w:autoSpaceDN w:val="0"/>
      <w:adjustRightInd w:val="0"/>
      <w:snapToGrid w:val="0"/>
      <w:spacing w:after="120" w:line="256" w:lineRule="auto"/>
      <w:jc w:val="both"/>
    </w:pPr>
    <w:rPr>
      <w:rFonts w:ascii="Times New Roman" w:eastAsia="Times New Roman" w:hAnsi="Times New Roman" w:cs="Times New Roman"/>
      <w:kern w:val="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42720"/>
    <w:pPr>
      <w:keepNext/>
      <w:numPr>
        <w:numId w:val="1"/>
      </w:numPr>
      <w:tabs>
        <w:tab w:val="left" w:pos="1134"/>
      </w:tabs>
      <w:autoSpaceDE/>
      <w:autoSpaceDN/>
      <w:adjustRightInd/>
      <w:snapToGrid/>
      <w:spacing w:before="240" w:after="60" w:line="240" w:lineRule="auto"/>
      <w:jc w:val="left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42720"/>
    <w:pPr>
      <w:keepNext/>
      <w:numPr>
        <w:ilvl w:val="1"/>
        <w:numId w:val="1"/>
      </w:numPr>
      <w:tabs>
        <w:tab w:val="clear" w:pos="3447"/>
      </w:tabs>
      <w:autoSpaceDE/>
      <w:autoSpaceDN/>
      <w:adjustRightInd/>
      <w:snapToGrid/>
      <w:spacing w:before="240" w:after="60" w:line="240" w:lineRule="auto"/>
      <w:ind w:left="567"/>
      <w:jc w:val="left"/>
      <w:outlineLvl w:val="1"/>
    </w:pPr>
    <w:rPr>
      <w:rFonts w:ascii="Helvetica" w:eastAsia="MS Mincho" w:hAnsi="Helvetica" w:cs="Arial"/>
      <w:b/>
      <w:bCs/>
      <w:iCs/>
      <w:kern w:val="0"/>
      <w:sz w:val="20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42720"/>
    <w:pPr>
      <w:keepNext/>
      <w:numPr>
        <w:ilvl w:val="2"/>
        <w:numId w:val="1"/>
      </w:numPr>
      <w:autoSpaceDE/>
      <w:autoSpaceDN/>
      <w:adjustRightInd/>
      <w:snapToGrid/>
      <w:spacing w:before="240" w:after="60" w:line="240" w:lineRule="auto"/>
      <w:ind w:left="0" w:firstLine="0"/>
      <w:jc w:val="left"/>
      <w:outlineLvl w:val="2"/>
    </w:pPr>
    <w:rPr>
      <w:rFonts w:ascii="Arial" w:eastAsia="MS Mincho" w:hAnsi="Arial" w:cs="Arial"/>
      <w:b/>
      <w:bCs/>
      <w:i/>
      <w:kern w:val="0"/>
      <w:sz w:val="20"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42720"/>
    <w:pPr>
      <w:keepNext/>
      <w:numPr>
        <w:ilvl w:val="3"/>
        <w:numId w:val="1"/>
      </w:numPr>
      <w:autoSpaceDE/>
      <w:autoSpaceDN/>
      <w:adjustRightInd/>
      <w:snapToGrid/>
      <w:spacing w:before="240" w:after="60" w:line="240" w:lineRule="auto"/>
      <w:jc w:val="left"/>
      <w:outlineLvl w:val="3"/>
    </w:pPr>
    <w:rPr>
      <w:rFonts w:eastAsia="MS Mincho"/>
      <w:b/>
      <w:bCs/>
      <w:kern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4272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42720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42720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272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42720"/>
    <w:pPr>
      <w:autoSpaceDE/>
      <w:autoSpaceDN/>
      <w:adjustRightInd/>
      <w:snapToGrid/>
      <w:spacing w:line="240" w:lineRule="auto"/>
    </w:pPr>
    <w:rPr>
      <w:rFonts w:eastAsia="MS Mincho"/>
      <w:kern w:val="0"/>
      <w:sz w:val="20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F42720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42720"/>
    <w:pPr>
      <w:tabs>
        <w:tab w:val="center" w:pos="4536"/>
        <w:tab w:val="right" w:pos="9072"/>
      </w:tabs>
      <w:autoSpaceDE/>
      <w:autoSpaceDN/>
      <w:adjustRightInd/>
      <w:snapToGrid/>
      <w:spacing w:after="0" w:line="240" w:lineRule="auto"/>
      <w:jc w:val="left"/>
    </w:pPr>
    <w:rPr>
      <w:rFonts w:ascii="Arial" w:eastAsia="MS Mincho" w:hAnsi="Arial"/>
      <w:b/>
      <w:kern w:val="0"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2720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42720"/>
    <w:pPr>
      <w:autoSpaceDE/>
      <w:autoSpaceDN/>
      <w:adjustRightInd/>
      <w:snapToGrid/>
      <w:spacing w:after="0" w:line="240" w:lineRule="auto"/>
      <w:ind w:left="720"/>
      <w:contextualSpacing/>
      <w:jc w:val="left"/>
    </w:pPr>
    <w:rPr>
      <w:kern w:val="0"/>
      <w:sz w:val="2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2720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F42720"/>
    <w:pPr>
      <w:tabs>
        <w:tab w:val="center" w:pos="4680"/>
        <w:tab w:val="right" w:pos="9360"/>
      </w:tabs>
      <w:autoSpaceDE/>
      <w:autoSpaceDN/>
      <w:adjustRightInd/>
      <w:snapToGrid/>
      <w:spacing w:after="0" w:line="240" w:lineRule="auto"/>
      <w:jc w:val="left"/>
    </w:pPr>
    <w:rPr>
      <w:kern w:val="0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42720"/>
    <w:rPr>
      <w:rFonts w:ascii="Times New Roman" w:eastAsia="Times New Roman" w:hAnsi="Times New Roman" w:cs="Times New Roman"/>
      <w:sz w:val="20"/>
      <w:szCs w:val="24"/>
    </w:rPr>
  </w:style>
  <w:style w:type="table" w:styleId="TableGrid">
    <w:name w:val="Table Grid"/>
    <w:basedOn w:val="TableNormal"/>
    <w:uiPriority w:val="39"/>
    <w:rsid w:val="00F4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F42720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  <w:style w:type="paragraph" w:customStyle="1" w:styleId="B1">
    <w:name w:val="B1"/>
    <w:basedOn w:val="List"/>
    <w:link w:val="B1Char"/>
    <w:qFormat/>
    <w:rsid w:val="00F4272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link w:val="B1"/>
    <w:qFormat/>
    <w:rsid w:val="00F4272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F42720"/>
    <w:pPr>
      <w:autoSpaceDE/>
      <w:autoSpaceDN/>
      <w:adjustRightInd/>
      <w:snapToGrid/>
      <w:spacing w:after="0" w:line="240" w:lineRule="auto"/>
      <w:ind w:left="360" w:hanging="360"/>
      <w:contextualSpacing/>
      <w:jc w:val="left"/>
    </w:pPr>
    <w:rPr>
      <w:kern w:val="0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C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C25"/>
    <w:rPr>
      <w:rFonts w:ascii="Segoe UI" w:eastAsia="Times New Roman" w:hAnsi="Segoe UI" w:cs="Segoe UI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26C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Theme="minorEastAsia" w:hAnsi="Arial"/>
      <w:spacing w:val="2"/>
      <w:szCs w:val="20"/>
    </w:rPr>
  </w:style>
  <w:style w:type="character" w:customStyle="1" w:styleId="IvDbodytextChar">
    <w:name w:val="IvD bodytext Char"/>
    <w:basedOn w:val="DefaultParagraphFont"/>
    <w:link w:val="IvDbodytext"/>
    <w:rsid w:val="00126C7C"/>
    <w:rPr>
      <w:rFonts w:ascii="Arial" w:eastAsiaTheme="minorEastAsia" w:hAnsi="Arial" w:cs="Times New Roman"/>
      <w:spacing w:val="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B2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B9C"/>
    <w:pPr>
      <w:autoSpaceDE/>
      <w:autoSpaceDN/>
      <w:adjustRightInd/>
      <w:snapToGrid/>
      <w:spacing w:after="0" w:line="240" w:lineRule="auto"/>
      <w:jc w:val="left"/>
    </w:pPr>
    <w:rPr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B9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B9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uiPriority w:val="99"/>
    <w:semiHidden/>
    <w:unhideWhenUsed/>
    <w:rsid w:val="008F66D9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3D223A"/>
    <w:rPr>
      <w:b/>
    </w:rPr>
  </w:style>
  <w:style w:type="paragraph" w:customStyle="1" w:styleId="TAC">
    <w:name w:val="TAC"/>
    <w:basedOn w:val="Normal"/>
    <w:link w:val="TACChar"/>
    <w:qFormat/>
    <w:rsid w:val="003D223A"/>
    <w:pPr>
      <w:keepNext/>
      <w:keepLines/>
      <w:autoSpaceDE/>
      <w:autoSpaceDN/>
      <w:adjustRightInd/>
      <w:snapToGrid/>
      <w:spacing w:after="0" w:line="240" w:lineRule="auto"/>
      <w:jc w:val="center"/>
    </w:pPr>
    <w:rPr>
      <w:rFonts w:ascii="Arial" w:eastAsiaTheme="minorEastAsia" w:hAnsi="Arial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D223A"/>
    <w:pPr>
      <w:keepNext/>
      <w:keepLines/>
      <w:autoSpaceDE/>
      <w:autoSpaceDN/>
      <w:adjustRightInd/>
      <w:snapToGrid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223A"/>
    <w:pPr>
      <w:autoSpaceDE/>
      <w:autoSpaceDN/>
      <w:adjustRightInd/>
      <w:snapToGrid/>
      <w:spacing w:after="180" w:line="240" w:lineRule="auto"/>
      <w:ind w:left="851" w:hanging="284"/>
      <w:contextualSpacing w:val="0"/>
      <w:jc w:val="left"/>
    </w:pPr>
    <w:rPr>
      <w:rFonts w:eastAsiaTheme="minorEastAsia"/>
      <w:kern w:val="0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rsid w:val="003D223A"/>
    <w:pPr>
      <w:autoSpaceDE/>
      <w:autoSpaceDN/>
      <w:adjustRightInd/>
      <w:snapToGrid/>
      <w:spacing w:after="180" w:line="240" w:lineRule="auto"/>
      <w:ind w:left="1135" w:hanging="284"/>
      <w:contextualSpacing w:val="0"/>
      <w:jc w:val="left"/>
    </w:pPr>
    <w:rPr>
      <w:rFonts w:eastAsiaTheme="minorEastAsia"/>
      <w:kern w:val="0"/>
      <w:sz w:val="20"/>
      <w:szCs w:val="20"/>
      <w:lang w:val="en-GB"/>
    </w:rPr>
  </w:style>
  <w:style w:type="character" w:customStyle="1" w:styleId="B1Zchn">
    <w:name w:val="B1 Zchn"/>
    <w:qFormat/>
    <w:rsid w:val="003D223A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3D223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3D223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3D223A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2Char">
    <w:name w:val="B2 Char"/>
    <w:link w:val="B2"/>
    <w:qFormat/>
    <w:rsid w:val="003D223A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3D223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D223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D223A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9220D7"/>
    <w:pPr>
      <w:spacing w:after="0" w:line="240" w:lineRule="auto"/>
    </w:pPr>
    <w:rPr>
      <w:rFonts w:ascii="Times New Roman" w:eastAsia="Times New Roman" w:hAnsi="Times New Roman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5-e/Docs/R1-210602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2021-08-07T00:36:00Z</dcterms:created>
  <dcterms:modified xsi:type="dcterms:W3CDTF">2021-08-07T02:06:00Z</dcterms:modified>
</cp:coreProperties>
</file>